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Default="000E7021" w:rsidP="000E7021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7 (wzór)</w:t>
      </w: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</w:t>
      </w:r>
      <w:r w:rsidR="00DC075F">
        <w:rPr>
          <w:rFonts w:ascii="Times New Roman" w:eastAsia="Times New Roman" w:hAnsi="Times New Roman" w:cs="Times New Roman"/>
        </w:rPr>
        <w:t>nieograniczonego numer WI.271.32</w:t>
      </w:r>
      <w:r>
        <w:rPr>
          <w:rFonts w:ascii="Times New Roman" w:eastAsia="Times New Roman" w:hAnsi="Times New Roman" w:cs="Times New Roman"/>
        </w:rPr>
        <w:t xml:space="preserve">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Rozbudowa budynku OSP w Ko</w:t>
      </w:r>
      <w:r w:rsidR="001E29DD">
        <w:rPr>
          <w:rFonts w:ascii="Times New Roman" w:eastAsia="Times New Roman" w:hAnsi="Times New Roman" w:cs="Times New Roman"/>
          <w:b/>
        </w:rPr>
        <w:t>ś</w:t>
      </w:r>
      <w:r>
        <w:rPr>
          <w:rFonts w:ascii="Times New Roman" w:eastAsia="Times New Roman" w:hAnsi="Times New Roman" w:cs="Times New Roman"/>
          <w:b/>
        </w:rPr>
        <w:t>minie na potrzeby garażu”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numPr>
          <w:ilvl w:val="0"/>
          <w:numId w:val="1"/>
        </w:numPr>
        <w:tabs>
          <w:tab w:val="num" w:pos="284"/>
        </w:tabs>
        <w:spacing w:after="0"/>
        <w:ind w:left="142" w:hanging="142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0E7021" w:rsidRDefault="000E7021" w:rsidP="000E7021">
      <w:pPr>
        <w:pStyle w:val="Akapitzlist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0E7021" w:rsidRDefault="000E7021" w:rsidP="000E7021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0E7021" w:rsidRDefault="000E7021" w:rsidP="000E7021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0E7021" w:rsidRDefault="000E7021" w:rsidP="000E7021">
      <w:pPr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zmiana dokumentacji będzie dokonana za zgodą Zamawiającego i pisemną zgodą autorskiej jednostki projektowania.</w:t>
      </w:r>
    </w:p>
    <w:p w:rsidR="000E7021" w:rsidRDefault="000E7021" w:rsidP="000E7021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DC075F" w:rsidRDefault="00DC075F" w:rsidP="00DC075F">
      <w:pPr>
        <w:spacing w:after="0"/>
        <w:rPr>
          <w:rFonts w:ascii="Times New Roman" w:eastAsia="Times New Roman" w:hAnsi="Times New Roman" w:cs="Times New Roman"/>
        </w:rPr>
      </w:pPr>
      <w:r w:rsidRPr="00DC075F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 xml:space="preserve">Termin rozpoczęcia realizacji przedmiotu umowy ustala się na ……………….. </w:t>
      </w:r>
    </w:p>
    <w:p w:rsidR="000E7021" w:rsidRPr="00DC075F" w:rsidRDefault="00DC075F" w:rsidP="00DC075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0E7021" w:rsidRPr="00DC075F">
        <w:rPr>
          <w:rFonts w:ascii="Times New Roman" w:eastAsia="Times New Roman" w:hAnsi="Times New Roman" w:cs="Times New Roman"/>
        </w:rPr>
        <w:t>Termin zakończenia robót</w:t>
      </w:r>
      <w:r w:rsidR="001E29DD" w:rsidRPr="00DC075F">
        <w:rPr>
          <w:rFonts w:ascii="Times New Roman" w:eastAsia="Times New Roman" w:hAnsi="Times New Roman" w:cs="Times New Roman"/>
        </w:rPr>
        <w:t>/odbiór końcowy/ ustala się na dzień</w:t>
      </w:r>
      <w:r w:rsidR="000E7021" w:rsidRPr="00DC075F">
        <w:rPr>
          <w:rFonts w:ascii="Times New Roman" w:eastAsia="Times New Roman" w:hAnsi="Times New Roman" w:cs="Times New Roman"/>
        </w:rPr>
        <w:t xml:space="preserve">:  </w:t>
      </w:r>
      <w:r w:rsidR="00EA3E17">
        <w:rPr>
          <w:rFonts w:ascii="Times New Roman" w:eastAsia="Times New Roman" w:hAnsi="Times New Roman" w:cs="Times New Roman"/>
          <w:b/>
        </w:rPr>
        <w:t>30</w:t>
      </w:r>
      <w:r w:rsidRPr="00DC075F">
        <w:rPr>
          <w:rFonts w:ascii="Times New Roman" w:eastAsia="Times New Roman" w:hAnsi="Times New Roman" w:cs="Times New Roman"/>
          <w:b/>
        </w:rPr>
        <w:t xml:space="preserve"> września 2020</w:t>
      </w:r>
      <w:r w:rsidR="000E7021" w:rsidRPr="00DC075F">
        <w:rPr>
          <w:rFonts w:ascii="Times New Roman" w:eastAsia="Times New Roman" w:hAnsi="Times New Roman" w:cs="Times New Roman"/>
          <w:b/>
        </w:rPr>
        <w:t xml:space="preserve"> r.</w:t>
      </w:r>
      <w:r w:rsidR="000E7021" w:rsidRPr="00DC075F">
        <w:rPr>
          <w:rFonts w:ascii="Times New Roman" w:eastAsia="Times New Roman" w:hAnsi="Times New Roman" w:cs="Times New Roman"/>
        </w:rPr>
        <w:t xml:space="preserve"> </w:t>
      </w:r>
    </w:p>
    <w:p w:rsidR="00DC075F" w:rsidRDefault="00DC075F" w:rsidP="000E7021">
      <w:pPr>
        <w:spacing w:after="0"/>
        <w:rPr>
          <w:rFonts w:ascii="Times New Roman" w:eastAsia="Times New Roman" w:hAnsi="Times New Roman" w:cs="Times New Roman"/>
        </w:rPr>
      </w:pPr>
      <w:r w:rsidRPr="00DC0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14"/>
          <w:szCs w:val="14"/>
        </w:rPr>
        <w:t xml:space="preserve">.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E7021" w:rsidRDefault="000E7021" w:rsidP="000E7021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0E7021" w:rsidRDefault="000E7021" w:rsidP="000E702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konstrukcyjno-budowlanej oraz ważnym zaświadczeniem z Okręgowej Izby Inżynierów Budownictwa.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0E7021" w:rsidRDefault="000E7021" w:rsidP="000E7021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zobowiązuje się zapewnić na swój koszt inspektora nadzoru.</w:t>
      </w:r>
    </w:p>
    <w:p w:rsidR="000E7021" w:rsidRDefault="000E7021" w:rsidP="000E7021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0E7021" w:rsidRDefault="000E7021" w:rsidP="000E7021">
      <w:p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0E7021" w:rsidRDefault="000E7021" w:rsidP="000E7021">
      <w:pPr>
        <w:spacing w:after="0"/>
        <w:ind w:left="357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</w:rPr>
        <w:lastRenderedPageBreak/>
        <w:t>podwykonawcy lub dalszemu podwykonawcy faktury lub rachunku, potwierdzających wykonanie zleconej dostawy, usługi lub roboty budowlanej.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0E7021" w:rsidRDefault="000E7021" w:rsidP="000E7021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0E7021" w:rsidRDefault="000E7021" w:rsidP="000E7021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poświadczoną za zgodność z oryginałem kopię zawartej umowy o podwykonawstwo, której przedmiotem są roboty budowlane, w terminie 7 dni od dnia jej zawarcia.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0E7021" w:rsidRDefault="000E7021" w:rsidP="000E7021">
      <w:pPr>
        <w:spacing w:after="0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24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Wykonawca odpowiada za teren budowy do czasu przekazania obiektu Zamawiającemu protokółem końcowego odbioru technicznego robót.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0E7021" w:rsidRDefault="000E7021" w:rsidP="000E7021">
      <w:pPr>
        <w:numPr>
          <w:ilvl w:val="2"/>
          <w:numId w:val="6"/>
        </w:numPr>
        <w:tabs>
          <w:tab w:val="num" w:pos="567"/>
        </w:tabs>
        <w:spacing w:before="60"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0E7021" w:rsidRDefault="000E7021" w:rsidP="000E7021">
      <w:pPr>
        <w:numPr>
          <w:ilvl w:val="2"/>
          <w:numId w:val="6"/>
        </w:numPr>
        <w:tabs>
          <w:tab w:val="num" w:pos="567"/>
        </w:tabs>
        <w:spacing w:before="60" w:after="24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0E7021" w:rsidRDefault="000E7021" w:rsidP="000E7021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60" w:after="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Przedmiotem odbioru końcowego  przez zamawiającego będzie kompleksowo wykonany przedmiot umowy. Zgłoszenie o zakończeniu realizacji zadania winno być poprzedzone przekazaniem Inspektorowi nadzoru kompletnych dokumentów odbiorowych, w skład których wchodzą m.in. : dziennik budowy, atesty materiałów, zestawienie rzeczowe wykonanych robót, dokumentacja powykonawcza z ewentualnymi naniesionymi zmianami i szkicem powykonawczym.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Aktualizacja wszystkich niezbędnych warunków technicznych, opinii, uzgodnień, decyzji itp.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Błędy lub braki w dokumentacji nie zwalniają Wykonawcy z obowiązku poprawnego wykonania pełnego i kompleksowego dzieła w ramach wynagrodzenia określonego w par. 13. 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>…………. miesięcy</w:t>
      </w:r>
      <w:r>
        <w:rPr>
          <w:rFonts w:ascii="Times New Roman" w:eastAsia="Times New Roman" w:hAnsi="Times New Roman" w:cs="Times New Roman"/>
        </w:rPr>
        <w:t>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netto: …………………. zł (słownie: 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podatek VAT: ………………… zł (słownie: 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………………. zł (słownie:     ).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ma charakter rozliczenia ryczałtowego.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Wykonawcy obejmuje wszystkie elementy i składniki kosztów niezbędne do wykonania przedmiotu umowy zgodnie z projektem 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będzie płatne przelewem na rachunek bankowy Wykonawcy………………………, w terminie do 30 dni od daty przedłożenia w siedzibie Zamawiającego prawidłowo wystawionej faktury.</w:t>
      </w:r>
    </w:p>
    <w:p w:rsidR="000E7021" w:rsidRDefault="000E7021" w:rsidP="000E702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0E7021" w:rsidRDefault="000E7021" w:rsidP="000E702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 datę realizacji płatności uważa się datę obciążenia należnością konta Zamawiającego.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niezapłacenie pełnej kwoty umownej w przypadku nie wykonania pełnego zakresu przedmiotu umowy lub w przypadku stwierdzenia usterek nie do usunięcia.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 trakcie wykonywania robót nie zachodzi konieczność wykonania ich pełnego zakresu faktura zostanie pomniejszona o wartość tych robót ujętych w kosztorysie ofertowym.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Rozliczenie robót dodatkowych i zamiennych będzie mieć miejsce na podstawie zawartych w kosztorysie ofertowym stawek i narzutów, cen materiałów i sprzętu .</w:t>
      </w:r>
    </w:p>
    <w:p w:rsidR="000E7021" w:rsidRDefault="000E7021" w:rsidP="000E7021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0E7021" w:rsidRDefault="000E7021" w:rsidP="000E7021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umowne: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wady,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0E7021" w:rsidRDefault="000E7021" w:rsidP="000E7021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13 ust.1, za każdorazowy brak zapłaty lub nieterminową zapłatę,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Podwykonawcy.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0E7021" w:rsidRDefault="000E7021" w:rsidP="000E7021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15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</w:t>
      </w:r>
      <w:r>
        <w:rPr>
          <w:rFonts w:ascii="Times New Roman" w:eastAsia="Times New Roman" w:hAnsi="Times New Roman" w:cs="Times New Roman"/>
          <w:b/>
        </w:rPr>
        <w:t xml:space="preserve">……… miesięcznej gwarancji </w:t>
      </w:r>
      <w:r>
        <w:rPr>
          <w:rFonts w:ascii="Times New Roman" w:eastAsia="Times New Roman" w:hAnsi="Times New Roman" w:cs="Times New Roman"/>
        </w:rPr>
        <w:t>jakości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wykonanych robót, licząc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 daty ostatecznego odbioru.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</w:rPr>
        <w:t>……………….. zł</w:t>
      </w:r>
      <w:r>
        <w:rPr>
          <w:rFonts w:ascii="Times New Roman" w:eastAsia="Times New Roman" w:hAnsi="Times New Roman" w:cs="Times New Roman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 xml:space="preserve">która to kwota stanowi  5 % wartości zadania. 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Wykonawca zobowiązuje się złożyć do dnia odbioru końcowego, nową gwarancję ………………. lub wnieść gotówkę na zabezpieczenie roszczeń z tytułu gwarancji jakości w wysokości </w:t>
      </w:r>
      <w:r>
        <w:rPr>
          <w:rFonts w:ascii="Times New Roman" w:eastAsia="Times New Roman" w:hAnsi="Times New Roman" w:cs="Times New Roman"/>
          <w:b/>
        </w:rPr>
        <w:t xml:space="preserve">……………………. zł. 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Zamawiający wspólnie z Wykonawcą i użytkownikiem  dokona komisyjnego przeglądu   </w:t>
      </w:r>
    </w:p>
    <w:p w:rsidR="000E7021" w:rsidRDefault="000E7021" w:rsidP="000E7021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16</w:t>
      </w:r>
    </w:p>
    <w:p w:rsidR="000E7021" w:rsidRDefault="000E7021" w:rsidP="000E7021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0E7021" w:rsidRDefault="000E7021" w:rsidP="000E7021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17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stawki podatku VAT,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konieczności uzyskania dodatkowych uzgodnień lub pozwoleń,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gdy wykonanie robót nie będzie możliwe ze względów technologicznych.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19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§21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22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 i Prawa budowlanego.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23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72293A" w:rsidRDefault="0072293A"/>
    <w:sectPr w:rsidR="0072293A" w:rsidSect="0072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5D3C2ED8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06653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06A43D98"/>
    <w:lvl w:ilvl="0" w:tplc="4E4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7021"/>
    <w:rsid w:val="000B67AF"/>
    <w:rsid w:val="000E7021"/>
    <w:rsid w:val="001E29DD"/>
    <w:rsid w:val="0072293A"/>
    <w:rsid w:val="00797A9F"/>
    <w:rsid w:val="008115D7"/>
    <w:rsid w:val="00DC075F"/>
    <w:rsid w:val="00EA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02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88F7-50C4-4BCD-BD54-28F3A65D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2916</Words>
  <Characters>17499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2019-08-21T12:15:00Z</dcterms:created>
  <dcterms:modified xsi:type="dcterms:W3CDTF">2019-12-06T08:57:00Z</dcterms:modified>
</cp:coreProperties>
</file>